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03A2B" w14:textId="77777777" w:rsidR="00321F2B" w:rsidRDefault="00321F2B" w:rsidP="00321F2B">
      <w:pPr>
        <w:spacing w:after="0"/>
        <w:jc w:val="center"/>
        <w:rPr>
          <w:sz w:val="20"/>
          <w:szCs w:val="20"/>
        </w:rPr>
      </w:pPr>
      <w:r>
        <w:rPr>
          <w:noProof/>
          <w:sz w:val="20"/>
          <w:szCs w:val="20"/>
        </w:rPr>
        <w:drawing>
          <wp:inline distT="0" distB="0" distL="0" distR="0" wp14:anchorId="07054B30" wp14:editId="7122136D">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7B84519E" w14:textId="77777777" w:rsidR="00321F2B" w:rsidRPr="00662521" w:rsidRDefault="00610EFF" w:rsidP="00321F2B">
      <w:pPr>
        <w:spacing w:after="0"/>
        <w:jc w:val="center"/>
        <w:rPr>
          <w:rFonts w:ascii="Arial" w:hAnsi="Arial" w:cs="Arial"/>
          <w:b/>
          <w:color w:val="1F3864" w:themeColor="accent1" w:themeShade="80"/>
          <w:sz w:val="20"/>
          <w:szCs w:val="20"/>
        </w:rPr>
      </w:pPr>
      <w:hyperlink r:id="rId7" w:history="1">
        <w:r w:rsidR="00321F2B" w:rsidRPr="00662521">
          <w:rPr>
            <w:rStyle w:val="Hyperlnk"/>
            <w:rFonts w:ascii="Arial" w:hAnsi="Arial" w:cs="Arial"/>
            <w:b/>
            <w:color w:val="1F3864" w:themeColor="accent1" w:themeShade="80"/>
            <w:sz w:val="20"/>
            <w:szCs w:val="20"/>
            <w:u w:val="none"/>
          </w:rPr>
          <w:t>www.sfpo.se</w:t>
        </w:r>
      </w:hyperlink>
    </w:p>
    <w:p w14:paraId="1E3C1DFA" w14:textId="77777777" w:rsidR="00321F2B" w:rsidRPr="00662521" w:rsidRDefault="00321F2B" w:rsidP="00321F2B">
      <w:pPr>
        <w:spacing w:after="0"/>
        <w:jc w:val="center"/>
        <w:rPr>
          <w:sz w:val="20"/>
          <w:szCs w:val="20"/>
        </w:rPr>
      </w:pPr>
    </w:p>
    <w:p w14:paraId="0356B1CD" w14:textId="77777777" w:rsidR="00321F2B" w:rsidRPr="00662521" w:rsidRDefault="00321F2B" w:rsidP="00321F2B">
      <w:pPr>
        <w:spacing w:after="0"/>
        <w:jc w:val="center"/>
        <w:rPr>
          <w:sz w:val="20"/>
          <w:szCs w:val="20"/>
        </w:rPr>
      </w:pPr>
    </w:p>
    <w:p w14:paraId="2FEFBEDE" w14:textId="77777777" w:rsidR="00321F2B" w:rsidRPr="00662521" w:rsidRDefault="00321F2B" w:rsidP="00321F2B">
      <w:pPr>
        <w:spacing w:after="0"/>
        <w:rPr>
          <w:sz w:val="20"/>
          <w:szCs w:val="18"/>
        </w:rPr>
      </w:pPr>
    </w:p>
    <w:p w14:paraId="1B7A29BC" w14:textId="77777777" w:rsidR="00321F2B" w:rsidRPr="00662521" w:rsidRDefault="00321F2B" w:rsidP="00321F2B">
      <w:pPr>
        <w:spacing w:after="0"/>
        <w:rPr>
          <w:sz w:val="20"/>
          <w:szCs w:val="18"/>
        </w:rPr>
      </w:pPr>
    </w:p>
    <w:p w14:paraId="389FD808" w14:textId="37339F39" w:rsidR="00321F2B" w:rsidRPr="00662521" w:rsidRDefault="00321F2B" w:rsidP="00321F2B">
      <w:pPr>
        <w:spacing w:after="0"/>
        <w:rPr>
          <w:rFonts w:ascii="Times New Roman" w:hAnsi="Times New Roman" w:cs="Times New Roman"/>
          <w:sz w:val="24"/>
          <w:szCs w:val="24"/>
        </w:rPr>
      </w:pPr>
      <w:r w:rsidRPr="00662521">
        <w:rPr>
          <w:rFonts w:ascii="Times New Roman" w:hAnsi="Times New Roman" w:cs="Times New Roman"/>
        </w:rPr>
        <w:tab/>
      </w:r>
      <w:r w:rsidRPr="00662521">
        <w:rPr>
          <w:rFonts w:ascii="Times New Roman" w:hAnsi="Times New Roman" w:cs="Times New Roman"/>
        </w:rPr>
        <w:tab/>
      </w:r>
      <w:r w:rsidRPr="00662521">
        <w:rPr>
          <w:rFonts w:ascii="Times New Roman" w:hAnsi="Times New Roman" w:cs="Times New Roman"/>
        </w:rPr>
        <w:tab/>
      </w:r>
      <w:r w:rsidRPr="00662521">
        <w:rPr>
          <w:rFonts w:ascii="Times New Roman" w:hAnsi="Times New Roman" w:cs="Times New Roman"/>
        </w:rPr>
        <w:tab/>
      </w:r>
      <w:r w:rsidRPr="00662521">
        <w:rPr>
          <w:rFonts w:ascii="Times New Roman" w:hAnsi="Times New Roman" w:cs="Times New Roman"/>
          <w:sz w:val="24"/>
          <w:szCs w:val="24"/>
        </w:rPr>
        <w:t>Göteborg</w:t>
      </w:r>
      <w:r>
        <w:rPr>
          <w:rFonts w:ascii="Times New Roman" w:hAnsi="Times New Roman" w:cs="Times New Roman"/>
          <w:sz w:val="24"/>
          <w:szCs w:val="24"/>
        </w:rPr>
        <w:t xml:space="preserve"> den 2</w:t>
      </w:r>
      <w:r w:rsidR="00C64B41">
        <w:rPr>
          <w:rFonts w:ascii="Times New Roman" w:hAnsi="Times New Roman" w:cs="Times New Roman"/>
          <w:sz w:val="24"/>
          <w:szCs w:val="24"/>
        </w:rPr>
        <w:t>8</w:t>
      </w:r>
      <w:r>
        <w:rPr>
          <w:rFonts w:ascii="Times New Roman" w:hAnsi="Times New Roman" w:cs="Times New Roman"/>
          <w:sz w:val="24"/>
          <w:szCs w:val="24"/>
        </w:rPr>
        <w:t xml:space="preserve"> februari 2022</w:t>
      </w:r>
    </w:p>
    <w:p w14:paraId="672F705D" w14:textId="77777777" w:rsidR="00321F2B" w:rsidRPr="00662521" w:rsidRDefault="00321F2B" w:rsidP="00321F2B">
      <w:pPr>
        <w:spacing w:after="0"/>
        <w:rPr>
          <w:rFonts w:ascii="Times New Roman" w:hAnsi="Times New Roman" w:cs="Times New Roman"/>
          <w:sz w:val="24"/>
          <w:szCs w:val="24"/>
        </w:rPr>
      </w:pPr>
    </w:p>
    <w:p w14:paraId="21F6883D" w14:textId="77777777" w:rsidR="00321F2B" w:rsidRDefault="00321F2B" w:rsidP="00321F2B">
      <w:pPr>
        <w:spacing w:after="0"/>
        <w:rPr>
          <w:rFonts w:ascii="Times New Roman" w:hAnsi="Times New Roman" w:cs="Times New Roman"/>
          <w:b/>
          <w:bCs/>
          <w:sz w:val="24"/>
          <w:szCs w:val="24"/>
        </w:rPr>
      </w:pPr>
      <w:r w:rsidRPr="00662521">
        <w:rPr>
          <w:rFonts w:ascii="Times New Roman" w:hAnsi="Times New Roman" w:cs="Times New Roman"/>
          <w:b/>
          <w:bCs/>
          <w:sz w:val="24"/>
          <w:szCs w:val="24"/>
        </w:rPr>
        <w:tab/>
      </w:r>
      <w:r w:rsidRPr="00662521">
        <w:rPr>
          <w:rFonts w:ascii="Times New Roman" w:hAnsi="Times New Roman" w:cs="Times New Roman"/>
          <w:b/>
          <w:bCs/>
          <w:sz w:val="24"/>
          <w:szCs w:val="24"/>
        </w:rPr>
        <w:tab/>
      </w:r>
      <w:r w:rsidRPr="00662521">
        <w:rPr>
          <w:rFonts w:ascii="Times New Roman" w:hAnsi="Times New Roman" w:cs="Times New Roman"/>
          <w:b/>
          <w:bCs/>
          <w:sz w:val="24"/>
          <w:szCs w:val="24"/>
        </w:rPr>
        <w:tab/>
      </w:r>
      <w:r w:rsidRPr="00662521">
        <w:rPr>
          <w:rFonts w:ascii="Times New Roman" w:hAnsi="Times New Roman" w:cs="Times New Roman"/>
          <w:b/>
          <w:bCs/>
          <w:sz w:val="24"/>
          <w:szCs w:val="24"/>
        </w:rPr>
        <w:tab/>
      </w:r>
      <w:r>
        <w:rPr>
          <w:rFonts w:ascii="Times New Roman" w:hAnsi="Times New Roman" w:cs="Times New Roman"/>
          <w:b/>
          <w:bCs/>
          <w:sz w:val="24"/>
          <w:szCs w:val="24"/>
        </w:rPr>
        <w:t>Havs- och vattenmyndigheten</w:t>
      </w:r>
    </w:p>
    <w:p w14:paraId="09D54795" w14:textId="5021CC32" w:rsidR="00321F2B" w:rsidRPr="00321F2B" w:rsidRDefault="00321F2B" w:rsidP="00321F2B">
      <w:pPr>
        <w:spacing w:after="0"/>
        <w:rPr>
          <w:rFonts w:ascii="Times New Roman" w:hAnsi="Times New Roman" w:cs="Times New Roman"/>
          <w:b/>
          <w:sz w:val="24"/>
          <w:szCs w:val="24"/>
        </w:rPr>
      </w:pPr>
      <w:r w:rsidRPr="00321F2B">
        <w:rPr>
          <w:rFonts w:ascii="Times New Roman" w:hAnsi="Times New Roman" w:cs="Times New Roman"/>
          <w:b/>
          <w:sz w:val="28"/>
          <w:szCs w:val="28"/>
        </w:rPr>
        <w:tab/>
      </w:r>
      <w:r w:rsidRPr="00321F2B">
        <w:rPr>
          <w:rFonts w:ascii="Times New Roman" w:hAnsi="Times New Roman" w:cs="Times New Roman"/>
          <w:b/>
          <w:sz w:val="28"/>
          <w:szCs w:val="28"/>
        </w:rPr>
        <w:tab/>
      </w:r>
      <w:r w:rsidRPr="00321F2B">
        <w:rPr>
          <w:rFonts w:ascii="Times New Roman" w:hAnsi="Times New Roman" w:cs="Times New Roman"/>
          <w:b/>
          <w:sz w:val="28"/>
          <w:szCs w:val="28"/>
        </w:rPr>
        <w:tab/>
      </w:r>
      <w:r w:rsidRPr="00321F2B">
        <w:rPr>
          <w:rFonts w:ascii="Times New Roman" w:hAnsi="Times New Roman" w:cs="Times New Roman"/>
          <w:b/>
          <w:sz w:val="24"/>
          <w:szCs w:val="24"/>
        </w:rPr>
        <w:tab/>
      </w:r>
      <w:hyperlink r:id="rId8" w:history="1">
        <w:r w:rsidRPr="00321F2B">
          <w:rPr>
            <w:rStyle w:val="Hyperlnk"/>
            <w:rFonts w:ascii="Times New Roman" w:hAnsi="Times New Roman" w:cs="Times New Roman"/>
            <w:b/>
            <w:color w:val="auto"/>
            <w:sz w:val="24"/>
            <w:szCs w:val="24"/>
            <w:u w:val="none"/>
          </w:rPr>
          <w:t>mats.svensson@havochvatten.se</w:t>
        </w:r>
      </w:hyperlink>
    </w:p>
    <w:p w14:paraId="7B7658F3" w14:textId="618ED9B2" w:rsidR="00321F2B" w:rsidRPr="00321F2B" w:rsidRDefault="00321F2B" w:rsidP="00321F2B">
      <w:pPr>
        <w:spacing w:after="0"/>
        <w:rPr>
          <w:rFonts w:ascii="Times New Roman" w:hAnsi="Times New Roman" w:cs="Times New Roman"/>
          <w:b/>
          <w:sz w:val="24"/>
          <w:szCs w:val="24"/>
        </w:rPr>
      </w:pPr>
      <w:r w:rsidRPr="00321F2B">
        <w:rPr>
          <w:rFonts w:ascii="Times New Roman" w:hAnsi="Times New Roman" w:cs="Times New Roman"/>
          <w:b/>
          <w:sz w:val="24"/>
          <w:szCs w:val="24"/>
        </w:rPr>
        <w:tab/>
      </w:r>
      <w:r w:rsidRPr="00321F2B">
        <w:rPr>
          <w:rFonts w:ascii="Times New Roman" w:hAnsi="Times New Roman" w:cs="Times New Roman"/>
          <w:b/>
          <w:sz w:val="24"/>
          <w:szCs w:val="24"/>
        </w:rPr>
        <w:tab/>
      </w:r>
      <w:r w:rsidRPr="00321F2B">
        <w:rPr>
          <w:rFonts w:ascii="Times New Roman" w:hAnsi="Times New Roman" w:cs="Times New Roman"/>
          <w:b/>
          <w:sz w:val="24"/>
          <w:szCs w:val="24"/>
        </w:rPr>
        <w:tab/>
      </w:r>
      <w:r w:rsidRPr="00321F2B">
        <w:rPr>
          <w:rFonts w:ascii="Times New Roman" w:hAnsi="Times New Roman" w:cs="Times New Roman"/>
          <w:b/>
          <w:sz w:val="24"/>
          <w:szCs w:val="24"/>
        </w:rPr>
        <w:tab/>
      </w:r>
      <w:hyperlink r:id="rId9" w:history="1">
        <w:r w:rsidRPr="00321F2B">
          <w:rPr>
            <w:rStyle w:val="Hyperlnk"/>
            <w:rFonts w:ascii="Times New Roman" w:hAnsi="Times New Roman" w:cs="Times New Roman"/>
            <w:b/>
            <w:color w:val="auto"/>
            <w:sz w:val="24"/>
            <w:szCs w:val="24"/>
            <w:u w:val="none"/>
          </w:rPr>
          <w:t>karin.kataria@havochvatten.se</w:t>
        </w:r>
      </w:hyperlink>
      <w:r w:rsidRPr="00321F2B">
        <w:rPr>
          <w:rFonts w:ascii="Times New Roman" w:hAnsi="Times New Roman" w:cs="Times New Roman"/>
          <w:b/>
          <w:sz w:val="24"/>
          <w:szCs w:val="24"/>
        </w:rPr>
        <w:t xml:space="preserve"> </w:t>
      </w:r>
    </w:p>
    <w:p w14:paraId="5627D42D" w14:textId="77777777" w:rsidR="00321F2B" w:rsidRPr="00321F2B" w:rsidRDefault="00321F2B" w:rsidP="00321F2B">
      <w:pPr>
        <w:spacing w:after="0"/>
        <w:rPr>
          <w:rFonts w:ascii="Times New Roman" w:hAnsi="Times New Roman" w:cs="Times New Roman"/>
          <w:b/>
          <w:sz w:val="24"/>
          <w:szCs w:val="24"/>
        </w:rPr>
      </w:pPr>
    </w:p>
    <w:p w14:paraId="5103B344" w14:textId="77777777" w:rsidR="00321F2B" w:rsidRPr="00321F2B" w:rsidRDefault="00321F2B" w:rsidP="00321F2B">
      <w:pPr>
        <w:spacing w:after="0"/>
        <w:rPr>
          <w:rFonts w:ascii="Times New Roman" w:hAnsi="Times New Roman" w:cs="Times New Roman"/>
          <w:b/>
          <w:sz w:val="24"/>
          <w:szCs w:val="24"/>
        </w:rPr>
      </w:pPr>
    </w:p>
    <w:p w14:paraId="16010748" w14:textId="77777777" w:rsidR="00321F2B" w:rsidRPr="00321F2B" w:rsidRDefault="00321F2B" w:rsidP="00321F2B">
      <w:pPr>
        <w:spacing w:after="0"/>
        <w:rPr>
          <w:rFonts w:ascii="Times New Roman" w:hAnsi="Times New Roman" w:cs="Times New Roman"/>
          <w:b/>
          <w:sz w:val="24"/>
          <w:szCs w:val="24"/>
        </w:rPr>
      </w:pPr>
    </w:p>
    <w:p w14:paraId="408104E3" w14:textId="77777777" w:rsidR="00321F2B" w:rsidRPr="00321F2B" w:rsidRDefault="00321F2B" w:rsidP="00321F2B">
      <w:pPr>
        <w:spacing w:after="0"/>
        <w:rPr>
          <w:rFonts w:ascii="Times New Roman" w:hAnsi="Times New Roman" w:cs="Times New Roman"/>
          <w:b/>
          <w:sz w:val="24"/>
          <w:szCs w:val="24"/>
        </w:rPr>
      </w:pPr>
    </w:p>
    <w:p w14:paraId="3C824789" w14:textId="77777777" w:rsidR="00321F2B" w:rsidRPr="00321F2B" w:rsidRDefault="00321F2B" w:rsidP="00321F2B">
      <w:pPr>
        <w:spacing w:after="0"/>
        <w:rPr>
          <w:rFonts w:ascii="Times New Roman" w:hAnsi="Times New Roman" w:cs="Times New Roman"/>
          <w:b/>
          <w:sz w:val="24"/>
          <w:szCs w:val="24"/>
        </w:rPr>
      </w:pPr>
    </w:p>
    <w:p w14:paraId="780F4C9F" w14:textId="3E23A28D" w:rsidR="00321F2B" w:rsidRDefault="00321F2B" w:rsidP="00321F2B">
      <w:pPr>
        <w:pBdr>
          <w:bottom w:val="single" w:sz="6" w:space="1" w:color="auto"/>
        </w:pBdr>
        <w:spacing w:after="0"/>
        <w:rPr>
          <w:rFonts w:ascii="Times New Roman" w:hAnsi="Times New Roman" w:cs="Times New Roman"/>
          <w:b/>
          <w:bCs/>
          <w:sz w:val="28"/>
          <w:szCs w:val="28"/>
        </w:rPr>
      </w:pPr>
      <w:r>
        <w:rPr>
          <w:rFonts w:ascii="Times New Roman" w:hAnsi="Times New Roman" w:cs="Times New Roman"/>
          <w:b/>
          <w:bCs/>
          <w:sz w:val="28"/>
          <w:szCs w:val="28"/>
        </w:rPr>
        <w:t>Förslag från SFPO gällande koncentrationsspärrarna i det demersala systemet</w:t>
      </w:r>
    </w:p>
    <w:p w14:paraId="7DFB7881" w14:textId="77777777" w:rsidR="00321F2B" w:rsidRDefault="00321F2B" w:rsidP="00321F2B">
      <w:pPr>
        <w:pBdr>
          <w:bottom w:val="single" w:sz="6" w:space="1" w:color="auto"/>
        </w:pBdr>
        <w:spacing w:after="0"/>
        <w:rPr>
          <w:rFonts w:ascii="Times New Roman" w:hAnsi="Times New Roman" w:cs="Times New Roman"/>
          <w:b/>
          <w:sz w:val="32"/>
          <w:szCs w:val="32"/>
        </w:rPr>
      </w:pPr>
    </w:p>
    <w:p w14:paraId="334AD9BC" w14:textId="77777777" w:rsidR="00321F2B" w:rsidRDefault="00321F2B" w:rsidP="00321F2B">
      <w:pPr>
        <w:spacing w:after="0"/>
        <w:rPr>
          <w:rFonts w:ascii="Times New Roman" w:hAnsi="Times New Roman" w:cs="Times New Roman"/>
          <w:b/>
          <w:sz w:val="28"/>
          <w:szCs w:val="28"/>
        </w:rPr>
      </w:pPr>
    </w:p>
    <w:p w14:paraId="598FD84A" w14:textId="3F7CEDBB" w:rsidR="00321F2B" w:rsidRPr="008B4E58" w:rsidRDefault="00321F2B" w:rsidP="005F3CBB">
      <w:pPr>
        <w:spacing w:line="240" w:lineRule="auto"/>
        <w:jc w:val="both"/>
        <w:rPr>
          <w:rFonts w:ascii="Times New Roman" w:hAnsi="Times New Roman" w:cs="Times New Roman"/>
          <w:sz w:val="24"/>
          <w:szCs w:val="24"/>
        </w:rPr>
      </w:pPr>
      <w:bookmarkStart w:id="0" w:name="_Hlk58411913"/>
      <w:r w:rsidRPr="008B4E58">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w:t>
      </w:r>
      <w:r w:rsidR="00FB24B8">
        <w:rPr>
          <w:rFonts w:ascii="Times New Roman" w:hAnsi="Times New Roman" w:cs="Times New Roman"/>
          <w:sz w:val="24"/>
          <w:szCs w:val="24"/>
        </w:rPr>
        <w:t>Koster</w:t>
      </w:r>
      <w:r w:rsidRPr="008B4E58">
        <w:rPr>
          <w:rFonts w:ascii="Times New Roman" w:hAnsi="Times New Roman" w:cs="Times New Roman"/>
          <w:sz w:val="24"/>
          <w:szCs w:val="24"/>
        </w:rPr>
        <w:t xml:space="preserve"> till Kalix. SFPO står för ett långsiktigt hållbart fiske och våra medlemmar är bland de bästa när det handlar om skonsamhet, selektivitet och kvalité. </w:t>
      </w:r>
    </w:p>
    <w:p w14:paraId="1A73F532" w14:textId="6DEDFFC6" w:rsidR="00754A49" w:rsidRPr="008B4E58" w:rsidRDefault="00321F2B" w:rsidP="005F3CBB">
      <w:pPr>
        <w:spacing w:line="240" w:lineRule="auto"/>
        <w:jc w:val="both"/>
        <w:rPr>
          <w:rFonts w:ascii="Times New Roman" w:hAnsi="Times New Roman" w:cs="Times New Roman"/>
          <w:sz w:val="24"/>
          <w:szCs w:val="24"/>
        </w:rPr>
      </w:pPr>
      <w:r w:rsidRPr="008B4E58">
        <w:rPr>
          <w:rFonts w:ascii="Times New Roman" w:hAnsi="Times New Roman" w:cs="Times New Roman"/>
          <w:sz w:val="24"/>
          <w:szCs w:val="24"/>
        </w:rPr>
        <w:t xml:space="preserve">SFPO har tidigare tillskrivit </w:t>
      </w:r>
      <w:r w:rsidR="003620FC">
        <w:rPr>
          <w:rFonts w:ascii="Times New Roman" w:hAnsi="Times New Roman" w:cs="Times New Roman"/>
          <w:sz w:val="24"/>
          <w:szCs w:val="24"/>
        </w:rPr>
        <w:t>Havs- och vatten</w:t>
      </w:r>
      <w:r w:rsidRPr="008B4E58">
        <w:rPr>
          <w:rFonts w:ascii="Times New Roman" w:hAnsi="Times New Roman" w:cs="Times New Roman"/>
          <w:sz w:val="24"/>
          <w:szCs w:val="24"/>
        </w:rPr>
        <w:t>myndigheten</w:t>
      </w:r>
      <w:r w:rsidR="003620FC">
        <w:rPr>
          <w:rFonts w:ascii="Times New Roman" w:hAnsi="Times New Roman" w:cs="Times New Roman"/>
          <w:sz w:val="24"/>
          <w:szCs w:val="24"/>
        </w:rPr>
        <w:t xml:space="preserve"> med</w:t>
      </w:r>
      <w:r w:rsidRPr="008B4E58">
        <w:rPr>
          <w:rFonts w:ascii="Times New Roman" w:hAnsi="Times New Roman" w:cs="Times New Roman"/>
          <w:sz w:val="24"/>
          <w:szCs w:val="24"/>
        </w:rPr>
        <w:t xml:space="preserve"> förslag rörande koncentrationsspärrar. </w:t>
      </w:r>
      <w:r w:rsidR="00754A49" w:rsidRPr="008B4E58">
        <w:rPr>
          <w:rFonts w:ascii="Times New Roman" w:hAnsi="Times New Roman" w:cs="Times New Roman"/>
          <w:sz w:val="24"/>
          <w:szCs w:val="24"/>
        </w:rPr>
        <w:t xml:space="preserve">Vi återkommer nu med ett reviderat förslag. SFPO önskar att myndigheten gör ändring i det demersala systemet på så sätt att koncentrationsgränserna fastställs enligt nedan: </w:t>
      </w:r>
    </w:p>
    <w:p w14:paraId="127FAED9" w14:textId="5EAEF99B" w:rsidR="00754A49" w:rsidRPr="008B4E58" w:rsidRDefault="00754A49" w:rsidP="005F3CBB">
      <w:pPr>
        <w:spacing w:line="240" w:lineRule="auto"/>
        <w:jc w:val="both"/>
        <w:rPr>
          <w:rFonts w:ascii="Times New Roman" w:hAnsi="Times New Roman" w:cs="Times New Roman"/>
          <w:sz w:val="24"/>
          <w:szCs w:val="24"/>
        </w:rPr>
      </w:pPr>
      <w:r w:rsidRPr="008B4E58">
        <w:rPr>
          <w:rFonts w:ascii="Times New Roman" w:hAnsi="Times New Roman" w:cs="Times New Roman"/>
          <w:sz w:val="24"/>
          <w:szCs w:val="24"/>
        </w:rPr>
        <w:t>Torsk, Skagerrak 15 %</w:t>
      </w:r>
    </w:p>
    <w:p w14:paraId="47485556" w14:textId="108404BB" w:rsidR="00754A49" w:rsidRPr="008B4E58" w:rsidRDefault="00754A49" w:rsidP="005F3CBB">
      <w:pPr>
        <w:spacing w:line="240" w:lineRule="auto"/>
        <w:jc w:val="both"/>
        <w:rPr>
          <w:rFonts w:ascii="Times New Roman" w:hAnsi="Times New Roman" w:cs="Times New Roman"/>
          <w:sz w:val="24"/>
          <w:szCs w:val="24"/>
        </w:rPr>
      </w:pPr>
      <w:r w:rsidRPr="008B4E58">
        <w:rPr>
          <w:rFonts w:ascii="Times New Roman" w:hAnsi="Times New Roman" w:cs="Times New Roman"/>
          <w:sz w:val="24"/>
          <w:szCs w:val="24"/>
        </w:rPr>
        <w:t>Gråsej, Nordsjön (joint), Skagerak, Kattegatt 20 %</w:t>
      </w:r>
    </w:p>
    <w:p w14:paraId="6B856833" w14:textId="184A3865" w:rsidR="00754A49" w:rsidRPr="008B4E58" w:rsidRDefault="00754A49" w:rsidP="005F3CBB">
      <w:pPr>
        <w:spacing w:line="240" w:lineRule="auto"/>
        <w:jc w:val="both"/>
        <w:rPr>
          <w:rFonts w:ascii="Times New Roman" w:hAnsi="Times New Roman" w:cs="Times New Roman"/>
          <w:sz w:val="24"/>
          <w:szCs w:val="24"/>
        </w:rPr>
      </w:pPr>
      <w:r w:rsidRPr="008B4E58">
        <w:rPr>
          <w:rFonts w:ascii="Times New Roman" w:hAnsi="Times New Roman" w:cs="Times New Roman"/>
          <w:sz w:val="24"/>
          <w:szCs w:val="24"/>
        </w:rPr>
        <w:t>Kolja, Skagerrak, Kattegatt 25 %</w:t>
      </w:r>
    </w:p>
    <w:p w14:paraId="1628258A" w14:textId="76FB4299" w:rsidR="00754A49" w:rsidRPr="008B4E58" w:rsidRDefault="00754A49" w:rsidP="005F3CBB">
      <w:pPr>
        <w:spacing w:line="240" w:lineRule="auto"/>
        <w:jc w:val="both"/>
        <w:rPr>
          <w:rFonts w:ascii="Times New Roman" w:hAnsi="Times New Roman" w:cs="Times New Roman"/>
          <w:sz w:val="24"/>
          <w:szCs w:val="24"/>
        </w:rPr>
      </w:pPr>
      <w:r w:rsidRPr="008B4E58">
        <w:rPr>
          <w:rFonts w:ascii="Times New Roman" w:hAnsi="Times New Roman" w:cs="Times New Roman"/>
          <w:sz w:val="24"/>
          <w:szCs w:val="24"/>
        </w:rPr>
        <w:t xml:space="preserve">En central del av den gemensamma fiskeripolitiken är ett hållbart nyttjande av fiskeresurserna. Det som långsiktigt hållbart kan fiskas fastställs som kvoter. Kvoterna </w:t>
      </w:r>
      <w:r w:rsidR="005F3CBB" w:rsidRPr="008B4E58">
        <w:rPr>
          <w:rFonts w:ascii="Times New Roman" w:hAnsi="Times New Roman" w:cs="Times New Roman"/>
          <w:sz w:val="24"/>
          <w:szCs w:val="24"/>
        </w:rPr>
        <w:t xml:space="preserve">säkerställer ett hållbart nyttjande. I den gemensamma fiskeripolitiken omtalas även två andra aspekter av hållbarhet; fisket ska vara ekonomiskt och socialt hållbart. </w:t>
      </w:r>
    </w:p>
    <w:p w14:paraId="493CD1F4" w14:textId="627C07B3" w:rsidR="00754A49" w:rsidRPr="008B4E58" w:rsidRDefault="00754A49" w:rsidP="005F3CBB">
      <w:pPr>
        <w:spacing w:line="240" w:lineRule="auto"/>
        <w:jc w:val="both"/>
        <w:rPr>
          <w:rFonts w:ascii="Times New Roman" w:hAnsi="Times New Roman" w:cs="Times New Roman"/>
          <w:sz w:val="24"/>
          <w:szCs w:val="24"/>
        </w:rPr>
      </w:pPr>
      <w:r w:rsidRPr="008B4E58">
        <w:rPr>
          <w:rFonts w:ascii="Times New Roman" w:hAnsi="Times New Roman" w:cs="Times New Roman"/>
          <w:sz w:val="24"/>
          <w:szCs w:val="24"/>
        </w:rPr>
        <w:t>Den ekonomiska situationen för det demersala fisket är ansträngd, trots att det inte föreligger någon brist på fiskeresurser som långsiktigt hållbart kan fiskas. Förra året (202</w:t>
      </w:r>
      <w:r w:rsidR="005F3CBB" w:rsidRPr="008B4E58">
        <w:rPr>
          <w:rFonts w:ascii="Times New Roman" w:hAnsi="Times New Roman" w:cs="Times New Roman"/>
          <w:sz w:val="24"/>
          <w:szCs w:val="24"/>
        </w:rPr>
        <w:t>1</w:t>
      </w:r>
      <w:r w:rsidRPr="008B4E58">
        <w:rPr>
          <w:rFonts w:ascii="Times New Roman" w:hAnsi="Times New Roman" w:cs="Times New Roman"/>
          <w:sz w:val="24"/>
          <w:szCs w:val="24"/>
        </w:rPr>
        <w:t xml:space="preserve">) fiskades inte någon </w:t>
      </w:r>
      <w:r w:rsidR="00762473">
        <w:rPr>
          <w:rFonts w:ascii="Times New Roman" w:hAnsi="Times New Roman" w:cs="Times New Roman"/>
          <w:sz w:val="24"/>
          <w:szCs w:val="24"/>
        </w:rPr>
        <w:t xml:space="preserve">demersal </w:t>
      </w:r>
      <w:r w:rsidRPr="008B4E58">
        <w:rPr>
          <w:rFonts w:ascii="Times New Roman" w:hAnsi="Times New Roman" w:cs="Times New Roman"/>
          <w:sz w:val="24"/>
          <w:szCs w:val="24"/>
        </w:rPr>
        <w:t xml:space="preserve">kvot fullt ut och betydande kvantiteter fisk, som långsiktigt hållbart hade kunnat fiskats, fiskades inte. </w:t>
      </w:r>
    </w:p>
    <w:p w14:paraId="127E4094" w14:textId="3995B49D" w:rsidR="005F3CBB" w:rsidRPr="008B4E58" w:rsidRDefault="005F3CBB" w:rsidP="005F3CBB">
      <w:pPr>
        <w:spacing w:line="240" w:lineRule="auto"/>
        <w:jc w:val="both"/>
        <w:rPr>
          <w:rFonts w:ascii="Times New Roman" w:hAnsi="Times New Roman" w:cs="Times New Roman"/>
          <w:sz w:val="24"/>
          <w:szCs w:val="24"/>
        </w:rPr>
      </w:pPr>
      <w:r w:rsidRPr="008B4E58">
        <w:rPr>
          <w:rFonts w:ascii="Times New Roman" w:hAnsi="Times New Roman" w:cs="Times New Roman"/>
          <w:sz w:val="24"/>
          <w:szCs w:val="24"/>
        </w:rPr>
        <w:lastRenderedPageBreak/>
        <w:t xml:space="preserve">Nedanstående tabell anger hur de tre kvoterna nyttjades 2021 (genomsnittspriser vid Göteborgs Fiskauktion 2021 har använts för värdeberäkningen): </w:t>
      </w:r>
    </w:p>
    <w:p w14:paraId="35F8EDD2" w14:textId="77777777" w:rsidR="005F3CBB" w:rsidRDefault="005F3CBB" w:rsidP="005F3CBB">
      <w:pPr>
        <w:spacing w:line="240" w:lineRule="auto"/>
        <w:jc w:val="both"/>
        <w:rPr>
          <w:rFonts w:ascii="Times New Roman" w:hAnsi="Times New Roman" w:cs="Times New Roman"/>
        </w:rPr>
      </w:pPr>
    </w:p>
    <w:tbl>
      <w:tblPr>
        <w:tblStyle w:val="Tabellrutnt"/>
        <w:tblW w:w="0" w:type="auto"/>
        <w:tblLook w:val="04A0" w:firstRow="1" w:lastRow="0" w:firstColumn="1" w:lastColumn="0" w:noHBand="0" w:noVBand="1"/>
      </w:tblPr>
      <w:tblGrid>
        <w:gridCol w:w="1812"/>
        <w:gridCol w:w="1812"/>
        <w:gridCol w:w="1812"/>
        <w:gridCol w:w="1813"/>
        <w:gridCol w:w="1813"/>
      </w:tblGrid>
      <w:tr w:rsidR="005F3CBB" w14:paraId="6A35D276" w14:textId="77777777" w:rsidTr="005F3CBB">
        <w:tc>
          <w:tcPr>
            <w:tcW w:w="1812" w:type="dxa"/>
          </w:tcPr>
          <w:p w14:paraId="10D42194" w14:textId="17D68F39" w:rsidR="005F3CBB" w:rsidRDefault="005F3CBB" w:rsidP="005F3CBB">
            <w:pPr>
              <w:spacing w:line="240" w:lineRule="auto"/>
              <w:jc w:val="both"/>
              <w:rPr>
                <w:rFonts w:ascii="Times New Roman" w:hAnsi="Times New Roman" w:cs="Times New Roman"/>
              </w:rPr>
            </w:pPr>
          </w:p>
        </w:tc>
        <w:tc>
          <w:tcPr>
            <w:tcW w:w="1812" w:type="dxa"/>
          </w:tcPr>
          <w:p w14:paraId="3518EA75" w14:textId="76D3D405" w:rsidR="005F3CBB" w:rsidRDefault="005F3CBB" w:rsidP="005F3CBB">
            <w:pPr>
              <w:spacing w:line="240" w:lineRule="auto"/>
              <w:jc w:val="center"/>
              <w:rPr>
                <w:rFonts w:ascii="Times New Roman" w:hAnsi="Times New Roman" w:cs="Times New Roman"/>
              </w:rPr>
            </w:pPr>
            <w:r>
              <w:rPr>
                <w:rFonts w:ascii="Times New Roman" w:hAnsi="Times New Roman" w:cs="Times New Roman"/>
              </w:rPr>
              <w:t>Kvot</w:t>
            </w:r>
            <w:r w:rsidR="00F47F9E">
              <w:rPr>
                <w:rFonts w:ascii="Times New Roman" w:hAnsi="Times New Roman" w:cs="Times New Roman"/>
              </w:rPr>
              <w:t xml:space="preserve"> (ton)</w:t>
            </w:r>
          </w:p>
        </w:tc>
        <w:tc>
          <w:tcPr>
            <w:tcW w:w="1812" w:type="dxa"/>
          </w:tcPr>
          <w:p w14:paraId="17E74D1E" w14:textId="650B7EC8" w:rsidR="005F3CBB" w:rsidRDefault="005F3CBB" w:rsidP="005F3CBB">
            <w:pPr>
              <w:spacing w:line="240" w:lineRule="auto"/>
              <w:jc w:val="center"/>
              <w:rPr>
                <w:rFonts w:ascii="Times New Roman" w:hAnsi="Times New Roman" w:cs="Times New Roman"/>
              </w:rPr>
            </w:pPr>
            <w:proofErr w:type="spellStart"/>
            <w:r>
              <w:rPr>
                <w:rFonts w:ascii="Times New Roman" w:hAnsi="Times New Roman" w:cs="Times New Roman"/>
              </w:rPr>
              <w:t>Infiskat</w:t>
            </w:r>
            <w:proofErr w:type="spellEnd"/>
            <w:r w:rsidR="00F47F9E">
              <w:rPr>
                <w:rFonts w:ascii="Times New Roman" w:hAnsi="Times New Roman" w:cs="Times New Roman"/>
              </w:rPr>
              <w:t xml:space="preserve"> (ton)</w:t>
            </w:r>
          </w:p>
        </w:tc>
        <w:tc>
          <w:tcPr>
            <w:tcW w:w="1813" w:type="dxa"/>
          </w:tcPr>
          <w:p w14:paraId="1F863DBC" w14:textId="2F2FE188" w:rsidR="005F3CBB" w:rsidRDefault="005F3CBB" w:rsidP="005F3CBB">
            <w:pPr>
              <w:spacing w:line="240" w:lineRule="auto"/>
              <w:jc w:val="center"/>
              <w:rPr>
                <w:rFonts w:ascii="Times New Roman" w:hAnsi="Times New Roman" w:cs="Times New Roman"/>
              </w:rPr>
            </w:pPr>
            <w:r>
              <w:rPr>
                <w:rFonts w:ascii="Times New Roman" w:hAnsi="Times New Roman" w:cs="Times New Roman"/>
              </w:rPr>
              <w:t>Ej nyttjat</w:t>
            </w:r>
            <w:r w:rsidR="00F47F9E">
              <w:rPr>
                <w:rFonts w:ascii="Times New Roman" w:hAnsi="Times New Roman" w:cs="Times New Roman"/>
              </w:rPr>
              <w:t xml:space="preserve"> (</w:t>
            </w:r>
            <w:r w:rsidR="00FB24B8">
              <w:rPr>
                <w:rFonts w:ascii="Times New Roman" w:hAnsi="Times New Roman" w:cs="Times New Roman"/>
              </w:rPr>
              <w:t>ton</w:t>
            </w:r>
            <w:r w:rsidR="00F47F9E">
              <w:rPr>
                <w:rFonts w:ascii="Times New Roman" w:hAnsi="Times New Roman" w:cs="Times New Roman"/>
              </w:rPr>
              <w:t>)</w:t>
            </w:r>
          </w:p>
        </w:tc>
        <w:tc>
          <w:tcPr>
            <w:tcW w:w="1813" w:type="dxa"/>
          </w:tcPr>
          <w:p w14:paraId="7BFB13DC" w14:textId="78DAFEBA" w:rsidR="005F3CBB" w:rsidRDefault="005F3CBB" w:rsidP="005F3CBB">
            <w:pPr>
              <w:spacing w:line="240" w:lineRule="auto"/>
              <w:jc w:val="center"/>
              <w:rPr>
                <w:rFonts w:ascii="Times New Roman" w:hAnsi="Times New Roman" w:cs="Times New Roman"/>
              </w:rPr>
            </w:pPr>
            <w:r>
              <w:rPr>
                <w:rFonts w:ascii="Times New Roman" w:hAnsi="Times New Roman" w:cs="Times New Roman"/>
              </w:rPr>
              <w:t>Värde ej nyttjat</w:t>
            </w:r>
            <w:r w:rsidR="00F47F9E">
              <w:rPr>
                <w:rFonts w:ascii="Times New Roman" w:hAnsi="Times New Roman" w:cs="Times New Roman"/>
              </w:rPr>
              <w:t xml:space="preserve"> (kr)</w:t>
            </w:r>
          </w:p>
        </w:tc>
      </w:tr>
      <w:tr w:rsidR="005F3CBB" w14:paraId="0C197E15" w14:textId="77777777" w:rsidTr="005F3CBB">
        <w:tc>
          <w:tcPr>
            <w:tcW w:w="1812" w:type="dxa"/>
          </w:tcPr>
          <w:p w14:paraId="2DD7D64E" w14:textId="28D2FA5B" w:rsidR="005F3CBB" w:rsidRDefault="005F3CBB" w:rsidP="005F3CBB">
            <w:pPr>
              <w:spacing w:line="240" w:lineRule="auto"/>
              <w:jc w:val="both"/>
              <w:rPr>
                <w:rFonts w:ascii="Times New Roman" w:hAnsi="Times New Roman" w:cs="Times New Roman"/>
              </w:rPr>
            </w:pPr>
            <w:r>
              <w:rPr>
                <w:rFonts w:ascii="Times New Roman" w:hAnsi="Times New Roman" w:cs="Times New Roman"/>
              </w:rPr>
              <w:t>Torsk</w:t>
            </w:r>
          </w:p>
        </w:tc>
        <w:tc>
          <w:tcPr>
            <w:tcW w:w="1812" w:type="dxa"/>
          </w:tcPr>
          <w:p w14:paraId="4C453538" w14:textId="3D06AC11" w:rsidR="005F3CBB" w:rsidRDefault="005F3CBB" w:rsidP="005F3CBB">
            <w:pPr>
              <w:spacing w:line="240" w:lineRule="auto"/>
              <w:jc w:val="center"/>
              <w:rPr>
                <w:rFonts w:ascii="Times New Roman" w:hAnsi="Times New Roman" w:cs="Times New Roman"/>
              </w:rPr>
            </w:pPr>
            <w:r>
              <w:rPr>
                <w:rFonts w:ascii="Times New Roman" w:hAnsi="Times New Roman" w:cs="Times New Roman"/>
              </w:rPr>
              <w:t>239</w:t>
            </w:r>
            <w:r w:rsidR="00FB24B8">
              <w:rPr>
                <w:rFonts w:ascii="Times New Roman" w:hAnsi="Times New Roman" w:cs="Times New Roman"/>
              </w:rPr>
              <w:t>*</w:t>
            </w:r>
            <w:r w:rsidR="00F47F9E">
              <w:rPr>
                <w:rFonts w:ascii="Times New Roman" w:hAnsi="Times New Roman" w:cs="Times New Roman"/>
              </w:rPr>
              <w:t>/265</w:t>
            </w:r>
          </w:p>
        </w:tc>
        <w:tc>
          <w:tcPr>
            <w:tcW w:w="1812" w:type="dxa"/>
          </w:tcPr>
          <w:p w14:paraId="161778BE" w14:textId="5A5FEFE5" w:rsidR="005F3CBB" w:rsidRDefault="00F47F9E" w:rsidP="005F3CBB">
            <w:pPr>
              <w:spacing w:line="240" w:lineRule="auto"/>
              <w:jc w:val="center"/>
              <w:rPr>
                <w:rFonts w:ascii="Times New Roman" w:hAnsi="Times New Roman" w:cs="Times New Roman"/>
              </w:rPr>
            </w:pPr>
            <w:r>
              <w:rPr>
                <w:rFonts w:ascii="Times New Roman" w:hAnsi="Times New Roman" w:cs="Times New Roman"/>
              </w:rPr>
              <w:t xml:space="preserve">238 </w:t>
            </w:r>
          </w:p>
        </w:tc>
        <w:tc>
          <w:tcPr>
            <w:tcW w:w="1813" w:type="dxa"/>
          </w:tcPr>
          <w:p w14:paraId="1D7FCADF" w14:textId="17F04E6B" w:rsidR="005F3CBB" w:rsidRDefault="00F47F9E" w:rsidP="005F3CBB">
            <w:pPr>
              <w:spacing w:line="240" w:lineRule="auto"/>
              <w:jc w:val="center"/>
              <w:rPr>
                <w:rFonts w:ascii="Times New Roman" w:hAnsi="Times New Roman" w:cs="Times New Roman"/>
              </w:rPr>
            </w:pPr>
            <w:r>
              <w:rPr>
                <w:rFonts w:ascii="Times New Roman" w:hAnsi="Times New Roman" w:cs="Times New Roman"/>
              </w:rPr>
              <w:t>27</w:t>
            </w:r>
          </w:p>
        </w:tc>
        <w:tc>
          <w:tcPr>
            <w:tcW w:w="1813" w:type="dxa"/>
          </w:tcPr>
          <w:p w14:paraId="4A96892E" w14:textId="7D9E6B47" w:rsidR="005F3CBB" w:rsidRDefault="00F47F9E" w:rsidP="005F3CBB">
            <w:pPr>
              <w:spacing w:line="240" w:lineRule="auto"/>
              <w:jc w:val="center"/>
              <w:rPr>
                <w:rFonts w:ascii="Times New Roman" w:hAnsi="Times New Roman" w:cs="Times New Roman"/>
              </w:rPr>
            </w:pPr>
            <w:r>
              <w:rPr>
                <w:rFonts w:ascii="Times New Roman" w:hAnsi="Times New Roman" w:cs="Times New Roman"/>
              </w:rPr>
              <w:t xml:space="preserve">1 378 350 </w:t>
            </w:r>
          </w:p>
        </w:tc>
      </w:tr>
      <w:tr w:rsidR="005F3CBB" w14:paraId="3089A5BE" w14:textId="77777777" w:rsidTr="005F3CBB">
        <w:tc>
          <w:tcPr>
            <w:tcW w:w="1812" w:type="dxa"/>
          </w:tcPr>
          <w:p w14:paraId="4906B356" w14:textId="417F224C" w:rsidR="005F3CBB" w:rsidRDefault="005F3CBB" w:rsidP="005F3CBB">
            <w:pPr>
              <w:spacing w:line="240" w:lineRule="auto"/>
              <w:jc w:val="both"/>
              <w:rPr>
                <w:rFonts w:ascii="Times New Roman" w:hAnsi="Times New Roman" w:cs="Times New Roman"/>
              </w:rPr>
            </w:pPr>
            <w:r>
              <w:rPr>
                <w:rFonts w:ascii="Times New Roman" w:hAnsi="Times New Roman" w:cs="Times New Roman"/>
              </w:rPr>
              <w:t>Gråsej</w:t>
            </w:r>
          </w:p>
        </w:tc>
        <w:tc>
          <w:tcPr>
            <w:tcW w:w="1812" w:type="dxa"/>
          </w:tcPr>
          <w:p w14:paraId="211ABD91" w14:textId="392FC24A" w:rsidR="005F3CBB" w:rsidRDefault="00F47F9E" w:rsidP="005F3CBB">
            <w:pPr>
              <w:spacing w:line="240" w:lineRule="auto"/>
              <w:jc w:val="center"/>
              <w:rPr>
                <w:rFonts w:ascii="Times New Roman" w:hAnsi="Times New Roman" w:cs="Times New Roman"/>
              </w:rPr>
            </w:pPr>
            <w:r>
              <w:rPr>
                <w:rFonts w:ascii="Times New Roman" w:hAnsi="Times New Roman" w:cs="Times New Roman"/>
              </w:rPr>
              <w:t>365</w:t>
            </w:r>
          </w:p>
        </w:tc>
        <w:tc>
          <w:tcPr>
            <w:tcW w:w="1812" w:type="dxa"/>
          </w:tcPr>
          <w:p w14:paraId="19E7168E" w14:textId="199D8FAD" w:rsidR="005F3CBB" w:rsidRDefault="00F47F9E" w:rsidP="005F3CBB">
            <w:pPr>
              <w:spacing w:line="240" w:lineRule="auto"/>
              <w:jc w:val="center"/>
              <w:rPr>
                <w:rFonts w:ascii="Times New Roman" w:hAnsi="Times New Roman" w:cs="Times New Roman"/>
              </w:rPr>
            </w:pPr>
            <w:r>
              <w:rPr>
                <w:rFonts w:ascii="Times New Roman" w:hAnsi="Times New Roman" w:cs="Times New Roman"/>
              </w:rPr>
              <w:t>254</w:t>
            </w:r>
          </w:p>
        </w:tc>
        <w:tc>
          <w:tcPr>
            <w:tcW w:w="1813" w:type="dxa"/>
          </w:tcPr>
          <w:p w14:paraId="515905E0" w14:textId="5C37A91B" w:rsidR="005F3CBB" w:rsidRDefault="00F47F9E" w:rsidP="005F3CBB">
            <w:pPr>
              <w:spacing w:line="240" w:lineRule="auto"/>
              <w:jc w:val="center"/>
              <w:rPr>
                <w:rFonts w:ascii="Times New Roman" w:hAnsi="Times New Roman" w:cs="Times New Roman"/>
              </w:rPr>
            </w:pPr>
            <w:r>
              <w:rPr>
                <w:rFonts w:ascii="Times New Roman" w:hAnsi="Times New Roman" w:cs="Times New Roman"/>
              </w:rPr>
              <w:t>111</w:t>
            </w:r>
          </w:p>
        </w:tc>
        <w:tc>
          <w:tcPr>
            <w:tcW w:w="1813" w:type="dxa"/>
          </w:tcPr>
          <w:p w14:paraId="5F43365E" w14:textId="090E8353" w:rsidR="005F3CBB" w:rsidRDefault="00F47F9E" w:rsidP="005F3CBB">
            <w:pPr>
              <w:spacing w:line="240" w:lineRule="auto"/>
              <w:jc w:val="center"/>
              <w:rPr>
                <w:rFonts w:ascii="Times New Roman" w:hAnsi="Times New Roman" w:cs="Times New Roman"/>
              </w:rPr>
            </w:pPr>
            <w:r>
              <w:rPr>
                <w:rFonts w:ascii="Times New Roman" w:hAnsi="Times New Roman" w:cs="Times New Roman"/>
              </w:rPr>
              <w:t>2 066 820</w:t>
            </w:r>
          </w:p>
        </w:tc>
      </w:tr>
      <w:tr w:rsidR="005F3CBB" w14:paraId="6408D0CE" w14:textId="77777777" w:rsidTr="005F3CBB">
        <w:tc>
          <w:tcPr>
            <w:tcW w:w="1812" w:type="dxa"/>
          </w:tcPr>
          <w:p w14:paraId="2BA82B96" w14:textId="08A9037F" w:rsidR="005F3CBB" w:rsidRDefault="005F3CBB" w:rsidP="005F3CBB">
            <w:pPr>
              <w:spacing w:line="240" w:lineRule="auto"/>
              <w:jc w:val="both"/>
              <w:rPr>
                <w:rFonts w:ascii="Times New Roman" w:hAnsi="Times New Roman" w:cs="Times New Roman"/>
              </w:rPr>
            </w:pPr>
            <w:r>
              <w:rPr>
                <w:rFonts w:ascii="Times New Roman" w:hAnsi="Times New Roman" w:cs="Times New Roman"/>
              </w:rPr>
              <w:t>Kolja</w:t>
            </w:r>
          </w:p>
        </w:tc>
        <w:tc>
          <w:tcPr>
            <w:tcW w:w="1812" w:type="dxa"/>
          </w:tcPr>
          <w:p w14:paraId="6D9CF0DB" w14:textId="597D521F" w:rsidR="005F3CBB" w:rsidRDefault="00F47F9E" w:rsidP="005F3CBB">
            <w:pPr>
              <w:spacing w:line="240" w:lineRule="auto"/>
              <w:jc w:val="center"/>
              <w:rPr>
                <w:rFonts w:ascii="Times New Roman" w:hAnsi="Times New Roman" w:cs="Times New Roman"/>
              </w:rPr>
            </w:pPr>
            <w:r>
              <w:rPr>
                <w:rFonts w:ascii="Times New Roman" w:hAnsi="Times New Roman" w:cs="Times New Roman"/>
              </w:rPr>
              <w:t>273</w:t>
            </w:r>
          </w:p>
        </w:tc>
        <w:tc>
          <w:tcPr>
            <w:tcW w:w="1812" w:type="dxa"/>
          </w:tcPr>
          <w:p w14:paraId="38D0F9D2" w14:textId="7D0A1DBA" w:rsidR="005F3CBB" w:rsidRDefault="00F47F9E" w:rsidP="005F3CBB">
            <w:pPr>
              <w:spacing w:line="240" w:lineRule="auto"/>
              <w:jc w:val="center"/>
              <w:rPr>
                <w:rFonts w:ascii="Times New Roman" w:hAnsi="Times New Roman" w:cs="Times New Roman"/>
              </w:rPr>
            </w:pPr>
            <w:r>
              <w:rPr>
                <w:rFonts w:ascii="Times New Roman" w:hAnsi="Times New Roman" w:cs="Times New Roman"/>
              </w:rPr>
              <w:t>125</w:t>
            </w:r>
          </w:p>
        </w:tc>
        <w:tc>
          <w:tcPr>
            <w:tcW w:w="1813" w:type="dxa"/>
          </w:tcPr>
          <w:p w14:paraId="440CB54C" w14:textId="33794BDE" w:rsidR="005F3CBB" w:rsidRDefault="00F47F9E" w:rsidP="005F3CBB">
            <w:pPr>
              <w:spacing w:line="240" w:lineRule="auto"/>
              <w:jc w:val="center"/>
              <w:rPr>
                <w:rFonts w:ascii="Times New Roman" w:hAnsi="Times New Roman" w:cs="Times New Roman"/>
              </w:rPr>
            </w:pPr>
            <w:r>
              <w:rPr>
                <w:rFonts w:ascii="Times New Roman" w:hAnsi="Times New Roman" w:cs="Times New Roman"/>
              </w:rPr>
              <w:t>148</w:t>
            </w:r>
          </w:p>
        </w:tc>
        <w:tc>
          <w:tcPr>
            <w:tcW w:w="1813" w:type="dxa"/>
          </w:tcPr>
          <w:p w14:paraId="3693ED71" w14:textId="0A745A9B" w:rsidR="005F3CBB" w:rsidRDefault="00F47F9E" w:rsidP="005F3CBB">
            <w:pPr>
              <w:spacing w:line="240" w:lineRule="auto"/>
              <w:jc w:val="center"/>
              <w:rPr>
                <w:rFonts w:ascii="Times New Roman" w:hAnsi="Times New Roman" w:cs="Times New Roman"/>
              </w:rPr>
            </w:pPr>
            <w:r>
              <w:rPr>
                <w:rFonts w:ascii="Times New Roman" w:hAnsi="Times New Roman" w:cs="Times New Roman"/>
              </w:rPr>
              <w:t>4 343 800</w:t>
            </w:r>
          </w:p>
        </w:tc>
      </w:tr>
    </w:tbl>
    <w:p w14:paraId="7C19E30B" w14:textId="77777777" w:rsidR="005F3CBB" w:rsidRPr="005F3CBB" w:rsidRDefault="005F3CBB" w:rsidP="005F3CBB">
      <w:pPr>
        <w:spacing w:line="240" w:lineRule="auto"/>
        <w:jc w:val="both"/>
        <w:rPr>
          <w:rFonts w:ascii="Times New Roman" w:hAnsi="Times New Roman" w:cs="Times New Roman"/>
        </w:rPr>
      </w:pPr>
    </w:p>
    <w:p w14:paraId="557A6000" w14:textId="4A2DA8F6" w:rsidR="005F3CBB" w:rsidRPr="008B4E58" w:rsidRDefault="005F3CBB" w:rsidP="00CD5A88">
      <w:pPr>
        <w:spacing w:line="240" w:lineRule="auto"/>
        <w:jc w:val="both"/>
        <w:rPr>
          <w:rFonts w:ascii="Times New Roman" w:hAnsi="Times New Roman" w:cs="Times New Roman"/>
          <w:i/>
          <w:iCs/>
        </w:rPr>
      </w:pPr>
      <w:r w:rsidRPr="008B4E58">
        <w:rPr>
          <w:rFonts w:ascii="Times New Roman" w:hAnsi="Times New Roman" w:cs="Times New Roman"/>
          <w:i/>
          <w:iCs/>
        </w:rPr>
        <w:t xml:space="preserve">* Enligt filen </w:t>
      </w:r>
      <w:r w:rsidR="00FB24B8">
        <w:rPr>
          <w:rFonts w:ascii="Times New Roman" w:hAnsi="Times New Roman" w:cs="Times New Roman"/>
          <w:i/>
          <w:iCs/>
        </w:rPr>
        <w:t>”</w:t>
      </w:r>
      <w:proofErr w:type="spellStart"/>
      <w:r w:rsidRPr="008B4E58">
        <w:rPr>
          <w:rFonts w:ascii="Times New Roman" w:hAnsi="Times New Roman" w:cs="Times New Roman"/>
          <w:i/>
          <w:iCs/>
        </w:rPr>
        <w:t>Infiskat</w:t>
      </w:r>
      <w:proofErr w:type="spellEnd"/>
      <w:r w:rsidRPr="008B4E58">
        <w:rPr>
          <w:rFonts w:ascii="Times New Roman" w:hAnsi="Times New Roman" w:cs="Times New Roman"/>
          <w:i/>
          <w:iCs/>
        </w:rPr>
        <w:t xml:space="preserve"> 2021</w:t>
      </w:r>
      <w:r w:rsidR="00FB24B8">
        <w:rPr>
          <w:rFonts w:ascii="Times New Roman" w:hAnsi="Times New Roman" w:cs="Times New Roman"/>
          <w:i/>
          <w:iCs/>
        </w:rPr>
        <w:t>”</w:t>
      </w:r>
      <w:r w:rsidR="00F47F9E" w:rsidRPr="008B4E58">
        <w:rPr>
          <w:rFonts w:ascii="Times New Roman" w:hAnsi="Times New Roman" w:cs="Times New Roman"/>
          <w:i/>
          <w:iCs/>
        </w:rPr>
        <w:t>,</w:t>
      </w:r>
      <w:r w:rsidRPr="008B4E58">
        <w:rPr>
          <w:rFonts w:ascii="Times New Roman" w:hAnsi="Times New Roman" w:cs="Times New Roman"/>
          <w:i/>
          <w:iCs/>
        </w:rPr>
        <w:t xml:space="preserve"> nedladdad från Havs- och vattenmyndighetens hemsida</w:t>
      </w:r>
      <w:r w:rsidR="00F47F9E" w:rsidRPr="008B4E58">
        <w:rPr>
          <w:rFonts w:ascii="Times New Roman" w:hAnsi="Times New Roman" w:cs="Times New Roman"/>
          <w:i/>
          <w:iCs/>
        </w:rPr>
        <w:t xml:space="preserve"> – 239 ton</w:t>
      </w:r>
      <w:r w:rsidRPr="008B4E58">
        <w:rPr>
          <w:rFonts w:ascii="Times New Roman" w:hAnsi="Times New Roman" w:cs="Times New Roman"/>
          <w:i/>
          <w:iCs/>
        </w:rPr>
        <w:t>. Kvoten uppgick enligt TAC-förordningen för 2021</w:t>
      </w:r>
      <w:r w:rsidR="00F47F9E" w:rsidRPr="008B4E58">
        <w:rPr>
          <w:rFonts w:ascii="Times New Roman" w:hAnsi="Times New Roman" w:cs="Times New Roman"/>
          <w:i/>
          <w:iCs/>
        </w:rPr>
        <w:t xml:space="preserve"> till 265 ton. SFPO ställer sig undrande till var skillnaden, 26 ton försvunnit. </w:t>
      </w:r>
    </w:p>
    <w:p w14:paraId="2ADB4726" w14:textId="77777777" w:rsidR="00FB24B8" w:rsidRDefault="00FB24B8" w:rsidP="008B4E58">
      <w:pPr>
        <w:jc w:val="both"/>
        <w:rPr>
          <w:rFonts w:ascii="Times New Roman" w:hAnsi="Times New Roman" w:cs="Times New Roman"/>
          <w:sz w:val="24"/>
          <w:szCs w:val="24"/>
        </w:rPr>
      </w:pPr>
    </w:p>
    <w:p w14:paraId="79BB04C2" w14:textId="54B7D10A" w:rsidR="00F47F9E" w:rsidRPr="008B4E58" w:rsidRDefault="00F47F9E" w:rsidP="008B4E58">
      <w:pPr>
        <w:jc w:val="both"/>
        <w:rPr>
          <w:rFonts w:ascii="Times New Roman" w:hAnsi="Times New Roman" w:cs="Times New Roman"/>
          <w:sz w:val="24"/>
          <w:szCs w:val="24"/>
        </w:rPr>
      </w:pPr>
      <w:r w:rsidRPr="008B4E58">
        <w:rPr>
          <w:rFonts w:ascii="Times New Roman" w:hAnsi="Times New Roman" w:cs="Times New Roman"/>
          <w:sz w:val="24"/>
          <w:szCs w:val="24"/>
        </w:rPr>
        <w:t>Det nuvarande demersala systemet behöver vidareutvecklas till ett flerårigt system</w:t>
      </w:r>
      <w:r w:rsidR="008B4E58" w:rsidRPr="008B4E58">
        <w:rPr>
          <w:rFonts w:ascii="Times New Roman" w:hAnsi="Times New Roman" w:cs="Times New Roman"/>
          <w:sz w:val="24"/>
          <w:szCs w:val="24"/>
        </w:rPr>
        <w:t>,</w:t>
      </w:r>
      <w:r w:rsidRPr="008B4E58">
        <w:rPr>
          <w:rFonts w:ascii="Times New Roman" w:hAnsi="Times New Roman" w:cs="Times New Roman"/>
          <w:sz w:val="24"/>
          <w:szCs w:val="24"/>
        </w:rPr>
        <w:t xml:space="preserve"> men intill så har skett behöver justeringar göras. </w:t>
      </w:r>
      <w:r w:rsidR="008B4E58" w:rsidRPr="008B4E58">
        <w:rPr>
          <w:rFonts w:ascii="Times New Roman" w:hAnsi="Times New Roman" w:cs="Times New Roman"/>
          <w:sz w:val="24"/>
          <w:szCs w:val="24"/>
        </w:rPr>
        <w:t xml:space="preserve">De av oss nu föreslagna ändringarna vad gäller koncentrationsspärrarna är nödvändiga för att säkerställa ett hållbart nyttjande av kvoterna. </w:t>
      </w:r>
    </w:p>
    <w:p w14:paraId="10A5D1DE" w14:textId="77777777" w:rsidR="00762473" w:rsidRDefault="00F47F9E" w:rsidP="008B4E58">
      <w:pPr>
        <w:jc w:val="both"/>
        <w:rPr>
          <w:rFonts w:ascii="Times New Roman" w:hAnsi="Times New Roman" w:cs="Times New Roman"/>
          <w:sz w:val="24"/>
          <w:szCs w:val="24"/>
        </w:rPr>
      </w:pPr>
      <w:r w:rsidRPr="008B4E58">
        <w:rPr>
          <w:rFonts w:ascii="Times New Roman" w:hAnsi="Times New Roman" w:cs="Times New Roman"/>
          <w:sz w:val="24"/>
          <w:szCs w:val="24"/>
        </w:rPr>
        <w:t xml:space="preserve">Om en kvot minskar mycket över tid, så som skett med exempelvis torskkvoten i Skagerrak, så minskas på samma sätt tilldelningen till de fiskande enligt nuvarande ordning. Denna tilldelning riskerar att bli sådan att något ekonomiskt hållbart fiske inte kan bedrivas. </w:t>
      </w:r>
    </w:p>
    <w:p w14:paraId="4C09A7C6" w14:textId="2089A0B2" w:rsidR="00F47F9E" w:rsidRDefault="008B4E58" w:rsidP="008B4E58">
      <w:pPr>
        <w:jc w:val="both"/>
        <w:rPr>
          <w:rFonts w:ascii="Times New Roman" w:hAnsi="Times New Roman" w:cs="Times New Roman"/>
          <w:sz w:val="24"/>
          <w:szCs w:val="24"/>
        </w:rPr>
      </w:pPr>
      <w:r w:rsidRPr="008B4E58">
        <w:rPr>
          <w:rFonts w:ascii="Times New Roman" w:hAnsi="Times New Roman" w:cs="Times New Roman"/>
          <w:sz w:val="24"/>
          <w:szCs w:val="24"/>
        </w:rPr>
        <w:t xml:space="preserve">SFPO anser att </w:t>
      </w:r>
      <w:r w:rsidR="00F47F9E" w:rsidRPr="008B4E58">
        <w:rPr>
          <w:rFonts w:ascii="Times New Roman" w:hAnsi="Times New Roman" w:cs="Times New Roman"/>
          <w:sz w:val="24"/>
          <w:szCs w:val="24"/>
        </w:rPr>
        <w:t xml:space="preserve">Havs- och vattenmyndigheten måste börja verka för hållbarhet även </w:t>
      </w:r>
      <w:r w:rsidRPr="008B4E58">
        <w:rPr>
          <w:rFonts w:ascii="Times New Roman" w:hAnsi="Times New Roman" w:cs="Times New Roman"/>
          <w:sz w:val="24"/>
          <w:szCs w:val="24"/>
        </w:rPr>
        <w:t>i ett fiskeri</w:t>
      </w:r>
      <w:r w:rsidR="00F47F9E" w:rsidRPr="008B4E58">
        <w:rPr>
          <w:rFonts w:ascii="Times New Roman" w:hAnsi="Times New Roman" w:cs="Times New Roman"/>
          <w:sz w:val="24"/>
          <w:szCs w:val="24"/>
        </w:rPr>
        <w:t>ekonomiskt</w:t>
      </w:r>
      <w:r w:rsidRPr="008B4E58">
        <w:rPr>
          <w:rFonts w:ascii="Times New Roman" w:hAnsi="Times New Roman" w:cs="Times New Roman"/>
          <w:sz w:val="24"/>
          <w:szCs w:val="24"/>
        </w:rPr>
        <w:t xml:space="preserve"> hänseende</w:t>
      </w:r>
      <w:r w:rsidR="00F47F9E" w:rsidRPr="008B4E58">
        <w:rPr>
          <w:rFonts w:ascii="Times New Roman" w:hAnsi="Times New Roman" w:cs="Times New Roman"/>
          <w:sz w:val="24"/>
          <w:szCs w:val="24"/>
        </w:rPr>
        <w:t>. De kvantiteter som inte nyttjas av kvoterna är misshushållning, eftersom det som kvoterna anger är det som långsiktigt hållbart kan fiskas. De kvantiteter som inte fiskas av kvoterna hade</w:t>
      </w:r>
      <w:r w:rsidRPr="008B4E58">
        <w:rPr>
          <w:rFonts w:ascii="Times New Roman" w:hAnsi="Times New Roman" w:cs="Times New Roman"/>
          <w:sz w:val="24"/>
          <w:szCs w:val="24"/>
        </w:rPr>
        <w:t>,</w:t>
      </w:r>
      <w:r w:rsidR="00F47F9E" w:rsidRPr="008B4E58">
        <w:rPr>
          <w:rFonts w:ascii="Times New Roman" w:hAnsi="Times New Roman" w:cs="Times New Roman"/>
          <w:sz w:val="24"/>
          <w:szCs w:val="24"/>
        </w:rPr>
        <w:t xml:space="preserve"> om de hade fiskats</w:t>
      </w:r>
      <w:r w:rsidRPr="008B4E58">
        <w:rPr>
          <w:rFonts w:ascii="Times New Roman" w:hAnsi="Times New Roman" w:cs="Times New Roman"/>
          <w:sz w:val="24"/>
          <w:szCs w:val="24"/>
        </w:rPr>
        <w:t>,</w:t>
      </w:r>
      <w:r w:rsidR="00F47F9E" w:rsidRPr="008B4E58">
        <w:rPr>
          <w:rFonts w:ascii="Times New Roman" w:hAnsi="Times New Roman" w:cs="Times New Roman"/>
          <w:sz w:val="24"/>
          <w:szCs w:val="24"/>
        </w:rPr>
        <w:t xml:space="preserve"> genererat inkomster inte bara till fisket utan även till staten i form av skatteintäkter med mera. </w:t>
      </w:r>
      <w:r w:rsidR="00762473">
        <w:rPr>
          <w:rFonts w:ascii="Times New Roman" w:hAnsi="Times New Roman" w:cs="Times New Roman"/>
          <w:sz w:val="24"/>
          <w:szCs w:val="24"/>
        </w:rPr>
        <w:t xml:space="preserve">De beräknade värdena ovan är värdet i första handelsled. </w:t>
      </w:r>
      <w:r w:rsidR="00F47F9E" w:rsidRPr="008B4E58">
        <w:rPr>
          <w:rFonts w:ascii="Times New Roman" w:hAnsi="Times New Roman" w:cs="Times New Roman"/>
          <w:sz w:val="24"/>
          <w:szCs w:val="24"/>
        </w:rPr>
        <w:t xml:space="preserve"> </w:t>
      </w:r>
    </w:p>
    <w:p w14:paraId="59B480E5" w14:textId="25ECAEB6" w:rsidR="00762473" w:rsidRDefault="004533AD" w:rsidP="008B4E58">
      <w:pPr>
        <w:jc w:val="both"/>
        <w:rPr>
          <w:rFonts w:ascii="Times New Roman" w:hAnsi="Times New Roman" w:cs="Times New Roman"/>
          <w:sz w:val="24"/>
          <w:szCs w:val="24"/>
        </w:rPr>
      </w:pPr>
      <w:r>
        <w:rPr>
          <w:rFonts w:ascii="Times New Roman" w:hAnsi="Times New Roman" w:cs="Times New Roman"/>
          <w:sz w:val="24"/>
          <w:szCs w:val="24"/>
        </w:rPr>
        <w:t xml:space="preserve">Behovet av planering och framförhållning för fisket är ytterligare skäl som talar för vårt förslag. Ytterligare ett argument är efterlevandet av landningsskyldigheten. </w:t>
      </w:r>
    </w:p>
    <w:p w14:paraId="72831A04" w14:textId="77777777" w:rsidR="00BC2A4E" w:rsidRDefault="004533AD" w:rsidP="008B4E58">
      <w:pPr>
        <w:jc w:val="both"/>
        <w:rPr>
          <w:rFonts w:ascii="Times New Roman" w:hAnsi="Times New Roman" w:cs="Times New Roman"/>
          <w:sz w:val="24"/>
          <w:szCs w:val="24"/>
        </w:rPr>
      </w:pPr>
      <w:r>
        <w:rPr>
          <w:rFonts w:ascii="Times New Roman" w:hAnsi="Times New Roman" w:cs="Times New Roman"/>
          <w:sz w:val="24"/>
          <w:szCs w:val="24"/>
        </w:rPr>
        <w:t xml:space="preserve">SFPO anser att systemet ska gynna de som vill fiska när fisk att fiska finns. Vi delar inte den uppfattning som myndigheten uttryckte i sitt svar av den 22 november 2021 – att en justering som den föreslagna kan tänkas vara motiverad om den gynnar en större grupp av aktiva fartyg. </w:t>
      </w:r>
      <w:r w:rsidR="00BC2A4E">
        <w:rPr>
          <w:rFonts w:ascii="Times New Roman" w:hAnsi="Times New Roman" w:cs="Times New Roman"/>
          <w:sz w:val="24"/>
          <w:szCs w:val="24"/>
        </w:rPr>
        <w:t xml:space="preserve">Faktum är att vi inte längre har en större grupp fiskfiskare. </w:t>
      </w:r>
    </w:p>
    <w:p w14:paraId="64BCA720" w14:textId="31284F9D" w:rsidR="004533AD" w:rsidRDefault="004533AD" w:rsidP="008B4E58">
      <w:pPr>
        <w:jc w:val="both"/>
        <w:rPr>
          <w:rFonts w:ascii="Times New Roman" w:hAnsi="Times New Roman" w:cs="Times New Roman"/>
          <w:sz w:val="24"/>
          <w:szCs w:val="24"/>
        </w:rPr>
      </w:pPr>
      <w:r>
        <w:rPr>
          <w:rFonts w:ascii="Times New Roman" w:hAnsi="Times New Roman" w:cs="Times New Roman"/>
          <w:sz w:val="24"/>
          <w:szCs w:val="24"/>
        </w:rPr>
        <w:t xml:space="preserve">En anpassning av koncentrationsgränserna bör göras för att möjliggöra för att de till Sverige tilldelade kvoterna, som anger vad som långsiktigt hållbart kan fiskas, också nyttjas. Ett sådant agerande torde vara i linje med såväl Livsmedelsstrategin som Yrkesfiskarstrategin. </w:t>
      </w:r>
    </w:p>
    <w:p w14:paraId="195229A4" w14:textId="59E0C747" w:rsidR="004533AD" w:rsidRPr="008B4E58" w:rsidRDefault="00FA0D9A" w:rsidP="008B4E58">
      <w:pPr>
        <w:jc w:val="both"/>
        <w:rPr>
          <w:rFonts w:ascii="Times New Roman" w:hAnsi="Times New Roman" w:cs="Times New Roman"/>
          <w:sz w:val="24"/>
          <w:szCs w:val="24"/>
        </w:rPr>
      </w:pPr>
      <w:r>
        <w:rPr>
          <w:rFonts w:ascii="Times New Roman" w:hAnsi="Times New Roman" w:cs="Times New Roman"/>
          <w:sz w:val="24"/>
          <w:szCs w:val="24"/>
        </w:rPr>
        <w:t xml:space="preserve">Ingen förlorar någonting på ett möjliggörande såsom det föreslagna. </w:t>
      </w:r>
      <w:r w:rsidR="00762473">
        <w:rPr>
          <w:rFonts w:ascii="Times New Roman" w:hAnsi="Times New Roman" w:cs="Times New Roman"/>
          <w:sz w:val="24"/>
          <w:szCs w:val="24"/>
        </w:rPr>
        <w:t xml:space="preserve">SFPO står till myndighetens förfogande för eventuella klargöranden om så skulle behövas. </w:t>
      </w:r>
    </w:p>
    <w:p w14:paraId="17A5089B" w14:textId="77777777" w:rsidR="00321F2B" w:rsidRPr="008B4E58" w:rsidRDefault="00321F2B" w:rsidP="00321F2B">
      <w:pPr>
        <w:spacing w:line="276" w:lineRule="auto"/>
        <w:jc w:val="both"/>
        <w:rPr>
          <w:rFonts w:ascii="Times New Roman" w:hAnsi="Times New Roman" w:cs="Times New Roman"/>
          <w:sz w:val="28"/>
          <w:szCs w:val="28"/>
        </w:rPr>
      </w:pPr>
    </w:p>
    <w:p w14:paraId="40A63C27" w14:textId="77777777" w:rsidR="00321F2B" w:rsidRDefault="00321F2B" w:rsidP="00321F2B">
      <w:pPr>
        <w:spacing w:line="276" w:lineRule="auto"/>
        <w:rPr>
          <w:rFonts w:ascii="Times New Roman" w:hAnsi="Times New Roman" w:cs="Times New Roman"/>
          <w:sz w:val="24"/>
          <w:szCs w:val="24"/>
        </w:rPr>
      </w:pPr>
      <w:r>
        <w:rPr>
          <w:rFonts w:ascii="Times New Roman" w:hAnsi="Times New Roman" w:cs="Times New Roman"/>
          <w:b/>
          <w:bCs/>
          <w:sz w:val="24"/>
          <w:szCs w:val="24"/>
        </w:rPr>
        <w:t>SVERIGES FISKARES PO</w:t>
      </w:r>
    </w:p>
    <w:p w14:paraId="10C21635" w14:textId="77777777" w:rsidR="00F47F9E" w:rsidRDefault="00F47F9E" w:rsidP="00321F2B">
      <w:pPr>
        <w:spacing w:after="0" w:line="276" w:lineRule="auto"/>
        <w:rPr>
          <w:rFonts w:ascii="Times New Roman" w:hAnsi="Times New Roman" w:cs="Times New Roman"/>
          <w:sz w:val="24"/>
          <w:szCs w:val="24"/>
        </w:rPr>
      </w:pPr>
    </w:p>
    <w:p w14:paraId="6A8EC91B" w14:textId="2CC4B0DF" w:rsidR="00321F2B" w:rsidRDefault="00321F2B" w:rsidP="00321F2B">
      <w:pPr>
        <w:spacing w:after="0" w:line="276" w:lineRule="auto"/>
        <w:rPr>
          <w:rFonts w:ascii="Times New Roman" w:hAnsi="Times New Roman" w:cs="Times New Roman"/>
          <w:sz w:val="24"/>
          <w:szCs w:val="24"/>
        </w:rPr>
      </w:pPr>
      <w:r>
        <w:rPr>
          <w:rFonts w:ascii="Times New Roman" w:hAnsi="Times New Roman" w:cs="Times New Roman"/>
          <w:sz w:val="24"/>
          <w:szCs w:val="24"/>
        </w:rPr>
        <w:t>Peter Ronelöv Olsson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Fredrik Lindberg</w:t>
      </w:r>
    </w:p>
    <w:p w14:paraId="7E781731" w14:textId="445A9114" w:rsidR="00995122" w:rsidRDefault="00321F2B" w:rsidP="00762473">
      <w:pPr>
        <w:spacing w:after="0" w:line="276" w:lineRule="auto"/>
      </w:pPr>
      <w:r>
        <w:rPr>
          <w:rFonts w:ascii="Times New Roman" w:hAnsi="Times New Roman" w:cs="Times New Roman"/>
          <w:sz w:val="24"/>
          <w:szCs w:val="24"/>
        </w:rPr>
        <w:t>Ordförande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Ombudsman</w:t>
      </w:r>
      <w:bookmarkEnd w:id="0"/>
    </w:p>
    <w:sectPr w:rsidR="00995122" w:rsidSect="00E430B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61034" w14:textId="77777777" w:rsidR="00610EFF" w:rsidRDefault="00610EFF" w:rsidP="003620FC">
      <w:pPr>
        <w:spacing w:after="0" w:line="240" w:lineRule="auto"/>
      </w:pPr>
      <w:r>
        <w:separator/>
      </w:r>
    </w:p>
  </w:endnote>
  <w:endnote w:type="continuationSeparator" w:id="0">
    <w:p w14:paraId="79AC1171" w14:textId="77777777" w:rsidR="00610EFF" w:rsidRDefault="00610EFF" w:rsidP="00362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5AA3A" w14:textId="77777777" w:rsidR="00610EFF" w:rsidRDefault="00610EFF" w:rsidP="003620FC">
      <w:pPr>
        <w:spacing w:after="0" w:line="240" w:lineRule="auto"/>
      </w:pPr>
      <w:r>
        <w:separator/>
      </w:r>
    </w:p>
  </w:footnote>
  <w:footnote w:type="continuationSeparator" w:id="0">
    <w:p w14:paraId="067D4DDC" w14:textId="77777777" w:rsidR="00610EFF" w:rsidRDefault="00610EFF" w:rsidP="00362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6DB3" w14:textId="06FEEAC2" w:rsidR="003620FC" w:rsidRPr="003620FC" w:rsidRDefault="003620FC" w:rsidP="003620FC">
    <w:pPr>
      <w:pStyle w:val="Sidhuvud"/>
      <w:jc w:val="center"/>
      <w:rPr>
        <w:rFonts w:ascii="Times New Roman" w:hAnsi="Times New Roman" w:cs="Times New Roman"/>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2B"/>
    <w:rsid w:val="00063C7B"/>
    <w:rsid w:val="00256A2D"/>
    <w:rsid w:val="00321F2B"/>
    <w:rsid w:val="003620FC"/>
    <w:rsid w:val="004533AD"/>
    <w:rsid w:val="004E1ACB"/>
    <w:rsid w:val="005F3CBB"/>
    <w:rsid w:val="00610EFF"/>
    <w:rsid w:val="00754A49"/>
    <w:rsid w:val="00762473"/>
    <w:rsid w:val="0084050D"/>
    <w:rsid w:val="008B4E58"/>
    <w:rsid w:val="0092649C"/>
    <w:rsid w:val="00995122"/>
    <w:rsid w:val="00BC2A4E"/>
    <w:rsid w:val="00C64B41"/>
    <w:rsid w:val="00CD5A88"/>
    <w:rsid w:val="00E430B1"/>
    <w:rsid w:val="00F26116"/>
    <w:rsid w:val="00F47F9E"/>
    <w:rsid w:val="00FA0D9A"/>
    <w:rsid w:val="00FB24B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5B8A6"/>
  <w15:chartTrackingRefBased/>
  <w15:docId w15:val="{C44D218C-CB0E-4ECF-92B4-6A9CE560D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F2B"/>
    <w:pPr>
      <w:spacing w:line="252"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21F2B"/>
    <w:rPr>
      <w:color w:val="0563C1" w:themeColor="hyperlink"/>
      <w:u w:val="single"/>
    </w:rPr>
  </w:style>
  <w:style w:type="character" w:styleId="Olstomnmnande">
    <w:name w:val="Unresolved Mention"/>
    <w:basedOn w:val="Standardstycketeckensnitt"/>
    <w:uiPriority w:val="99"/>
    <w:semiHidden/>
    <w:unhideWhenUsed/>
    <w:rsid w:val="00321F2B"/>
    <w:rPr>
      <w:color w:val="605E5C"/>
      <w:shd w:val="clear" w:color="auto" w:fill="E1DFDD"/>
    </w:rPr>
  </w:style>
  <w:style w:type="table" w:styleId="Tabellrutnt">
    <w:name w:val="Table Grid"/>
    <w:basedOn w:val="Normaltabell"/>
    <w:uiPriority w:val="39"/>
    <w:rsid w:val="005F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5F3CBB"/>
    <w:pPr>
      <w:ind w:left="720"/>
      <w:contextualSpacing/>
    </w:pPr>
  </w:style>
  <w:style w:type="paragraph" w:styleId="Sidhuvud">
    <w:name w:val="header"/>
    <w:basedOn w:val="Normal"/>
    <w:link w:val="SidhuvudChar"/>
    <w:uiPriority w:val="99"/>
    <w:unhideWhenUsed/>
    <w:rsid w:val="003620F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620FC"/>
  </w:style>
  <w:style w:type="paragraph" w:styleId="Sidfot">
    <w:name w:val="footer"/>
    <w:basedOn w:val="Normal"/>
    <w:link w:val="SidfotChar"/>
    <w:uiPriority w:val="99"/>
    <w:unhideWhenUsed/>
    <w:rsid w:val="003620F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62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svensson@havochvatten.se" TargetMode="External"/><Relationship Id="rId3" Type="http://schemas.openxmlformats.org/officeDocument/2006/relationships/webSettings" Target="webSettings.xml"/><Relationship Id="rId7" Type="http://schemas.openxmlformats.org/officeDocument/2006/relationships/hyperlink" Target="http://www.sfpo.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karin.kataria@havochvatt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697</Words>
  <Characters>3699</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12</cp:revision>
  <dcterms:created xsi:type="dcterms:W3CDTF">2022-02-18T12:27:00Z</dcterms:created>
  <dcterms:modified xsi:type="dcterms:W3CDTF">2022-02-28T12:16:00Z</dcterms:modified>
</cp:coreProperties>
</file>